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240"/>
      </w:pPr>
      <w:r>
        <w:rPr>
          <w:rFonts w:ascii="Arial" w:cs="Arial" w:eastAsia="Arial" w:hAnsi="Arial"/>
          <w:b/>
          <w:bCs/>
          <w:color w:val="000000"/>
          <w:sz w:val="32"/>
          <w:szCs w:val="32"/>
        </w:rPr>
        <w:t xml:space="preserve">Sunya Research — Operator Memo</w:t>
      </w:r>
    </w:p>
    <w:p>
      <w:pPr>
        <w:spacing w:after="240" w:line="240"/>
      </w:pPr>
      <w:r>
        <w:rPr>
          <w:rFonts w:ascii="Arial" w:cs="Arial" w:eastAsia="Arial" w:hAnsi="Arial"/>
          <w:color w:val="888888"/>
          <w:sz w:val="22"/>
          <w:szCs w:val="22"/>
        </w:rPr>
        <w:t xml:space="preserve">Treasury / Lender Readiness: One Workflow, End to End</w:t>
      </w:r>
    </w:p>
    <w:p>
      <w:pPr>
        <w:spacing w:after="120" w:line="240"/>
      </w:pPr>
      <w:r>
        <w:rPr>
          <w:rFonts w:ascii="Arial" w:cs="Arial" w:eastAsia="Arial" w:hAnsi="Arial"/>
          <w:b/>
          <w:bCs/>
          <w:color w:val="454B1B"/>
          <w:sz w:val="26"/>
          <w:szCs w:val="26"/>
        </w:rPr>
        <w:t xml:space="preserve">The pain</w:t>
      </w:r>
    </w:p>
    <w:p>
      <w:pPr>
        <w:spacing w:after="200" w:line="240"/>
        <w:jc w:val="left"/>
      </w:pPr>
      <w:r>
        <w:rPr>
          <w:rFonts w:ascii="Arial" w:cs="Arial" w:eastAsia="Arial" w:hAnsi="Arial"/>
          <w:color w:val="000000"/>
          <w:sz w:val="21"/>
          <w:szCs w:val="21"/>
        </w:rPr>
        <w:t xml:space="preserve">The borrowing-base redetermination cycle takes 15-20 business days and 120-160 analyst hours. The treasury team rebuilds the packet from scratch because nobody structured last cycle's work product for reuse. The lender sends the same fifteen questions every cycle. The answers start from zero every time.</w:t>
      </w:r>
    </w:p>
    <w:p>
      <w:pPr>
        <w:spacing w:after="120" w:line="240"/>
      </w:pPr>
      <w:r>
        <w:rPr>
          <w:rFonts w:ascii="Arial" w:cs="Arial" w:eastAsia="Arial" w:hAnsi="Arial"/>
          <w:b/>
          <w:bCs/>
          <w:color w:val="454B1B"/>
          <w:sz w:val="26"/>
          <w:szCs w:val="26"/>
        </w:rPr>
        <w:t xml:space="preserve">The buyer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rHeight w:val="360" w:hRule="atLeast"/>
        </w:trPr>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Field</w:t>
            </w:r>
          </w:p>
        </w:tc>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Value</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Budget owner</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CFO / Treasurer / VP Finance</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Decision maker</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CFO + General Counsel</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Cycle frequency</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Semi-annual (spring/fall redetermination)</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Typical team size</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3-5 analysts + 1-2 legal</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Budget range</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$200K-$500K annually in analyst time</w:t>
            </w:r>
          </w:p>
        </w:tc>
      </w:tr>
    </w:tbl>
    <w:p>
      <w:pPr>
        <w:spacing w:after="200" w:line="240"/>
      </w:pPr>
      <w:r>
        <w:t xml:space="preserve"/>
      </w:r>
    </w:p>
    <w:p>
      <w:pPr>
        <w:spacing w:after="120" w:line="240"/>
      </w:pPr>
      <w:r>
        <w:rPr>
          <w:rFonts w:ascii="Arial" w:cs="Arial" w:eastAsia="Arial" w:hAnsi="Arial"/>
          <w:b/>
          <w:bCs/>
          <w:color w:val="454B1B"/>
          <w:sz w:val="26"/>
          <w:szCs w:val="26"/>
        </w:rPr>
        <w:t xml:space="preserve">What the system does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rHeight w:val="360" w:hRule="atLeast"/>
        </w:trPr>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Step</w:t>
            </w:r>
          </w:p>
        </w:tc>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AI role</w:t>
            </w:r>
          </w:p>
        </w:tc>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Human role</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Source ingestion (reserves, hedges, production, covenants, debt)</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Extract and structure all source data</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Verify source completeness</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Numeric reconciliation</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Cross-check numbers across all sources, flag conflicts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Resolve flagged conflicts</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Covenant compliance check</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Extract covenant terms, test compliance, draft summary</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Legal review of compliance determination</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Packet assembly</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Generate cited draft packet with source links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Review and approve draft</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Lender Q&amp;A response</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Draft responses citing source documents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Review, approve, send</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Exception handling</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Flag missing sources, conflicts, ambiguities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Decide resolution</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Cycle memory</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Store structured work product for next cycle</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Confirm retention scope</w:t>
            </w:r>
          </w:p>
        </w:tc>
      </w:tr>
    </w:tbl>
    <w:p>
      <w:pPr>
        <w:spacing w:after="0" w:line="240"/>
      </w:pPr>
      <w:r>
        <w:t xml:space="preserve"/>
      </w:r>
    </w:p>
    <w:p>
      <w:r>
        <w:br w:type="page"/>
      </w:r>
    </w:p>
    <w:p>
      <w:pPr>
        <w:spacing w:after="120" w:line="240"/>
      </w:pPr>
      <w:r>
        <w:rPr>
          <w:rFonts w:ascii="Arial" w:cs="Arial" w:eastAsia="Arial" w:hAnsi="Arial"/>
          <w:b/>
          <w:bCs/>
          <w:color w:val="454B1B"/>
          <w:sz w:val="26"/>
          <w:szCs w:val="26"/>
        </w:rPr>
        <w:t xml:space="preserve">What we measure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rHeight w:val="360" w:hRule="atLeast"/>
        </w:trPr>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Metric</w:t>
            </w:r>
          </w:p>
        </w:tc>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Current baseline</w:t>
            </w:r>
          </w:p>
        </w:tc>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Target</w:t>
            </w:r>
          </w:p>
        </w:tc>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How measured</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t>Cycle time (core packet preparation)</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15-20 business days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≤5 business days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Timestamp delta</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Analyst hours per cycle</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120-160 hours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≤30 hours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Time tracking</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Citation fidelity</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Not measured</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≥95%</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Audit of 50 claims</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Numeric accuracy</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Not measured</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≥99%</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Automated comparison</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Error escape rate</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~5-8%</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≤1%</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Post-cycle audit</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Lender Q&amp;A turnaround</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2-5 business days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≤4 hours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Timestamp delta</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Scenarios per cycle</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4-6</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20-40</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Count</w:t>
            </w:r>
          </w:p>
        </w:tc>
      </w:tr>
    </w:tbl>
    <w:p>
      <w:pPr>
        <w:spacing w:after="200" w:line="240"/>
      </w:pPr>
      <w:r>
        <w:t xml:space="preserve"/>
      </w:r>
    </w:p>
    <w:p>
      <w:pPr>
        <w:spacing w:after="120" w:line="240"/>
      </w:pPr>
      <w:r>
        <w:rPr>
          <w:rFonts w:ascii="Arial" w:cs="Arial" w:eastAsia="Arial" w:hAnsi="Arial"/>
          <w:b/>
          <w:bCs/>
          <w:color w:val="454B1B"/>
          <w:sz w:val="26"/>
          <w:szCs w:val="26"/>
        </w:rPr>
        <w:t xml:space="preserve">Signoff boundary</w:t>
      </w:r>
    </w:p>
    <w:p>
      <w:pPr>
        <w:spacing w:after="200" w:line="240"/>
        <w:jc w:val="left"/>
      </w:pPr>
      <w:r>
        <w:rPr>
          <w:rFonts w:ascii="Arial" w:cs="Arial" w:eastAsia="Arial" w:hAnsi="Arial"/>
          <w:color w:val="000000"/>
          <w:sz w:val="21"/>
          <w:szCs w:val="21"/>
        </w:rPr>
        <w:t xml:space="preserve">AI drafts. Humans approve. Nothing goes to the lender without treasury + legal sign-off. The system flags what it cannot verify. The reviewer sees exactly which sources back each claim. Every output has a full audit trail — source hashes, version history, reviewer actions, approval timestamps.</w:t>
      </w:r>
    </w:p>
    <w:p>
      <w:pPr>
        <w:spacing w:after="120" w:line="240"/>
      </w:pPr>
      <w:r>
        <w:rPr>
          <w:rFonts w:ascii="Arial" w:cs="Arial" w:eastAsia="Arial" w:hAnsi="Arial"/>
          <w:b/>
          <w:bCs/>
          <w:color w:val="454B1B"/>
          <w:sz w:val="26"/>
          <w:szCs w:val="26"/>
        </w:rPr>
        <w:t xml:space="preserve">What would prove this works</w:t>
      </w:r>
    </w:p>
    <w:p>
      <w:pPr>
        <w:pStyle w:val="ListParagraph"/>
        <w:numPr>
          <w:ilvl w:val="0"/>
          <w:numId w:val="2"/>
        </w:numPr>
        <w:spacing w:after="80" w:line="240"/>
      </w:pPr>
      <w:r>
        <w:t>One E&amp;P company, one redetermination cycle, measured end-to-end</w:t>
      </w:r>
    </w:p>
    <w:p>
      <w:pPr>
        <w:pStyle w:val="ListParagraph"/>
        <w:numPr>
          <w:ilvl w:val="0"/>
          <w:numId w:val="2"/>
        </w:numPr>
        <w:spacing w:after="80" w:line="240"/>
      </w:pPr>
      <w:r>
        <w:t>Before/after comparison: cycle time, analyst hours, error rate</w:t>
      </w:r>
    </w:p>
    <w:p>
      <w:pPr>
        <w:pStyle w:val="ListParagraph"/>
        <w:numPr>
          <w:ilvl w:val="0"/>
          <w:numId w:val="2"/>
        </w:numPr>
        <w:spacing w:after="80" w:line="240"/>
      </w:pPr>
      <w:r>
        <w:t>Lender accepts the packet without requesting rework</w:t>
      </w:r>
    </w:p>
    <w:p>
      <w:pPr>
        <w:pStyle w:val="ListParagraph"/>
        <w:numPr>
          <w:ilvl w:val="0"/>
          <w:numId w:val="2"/>
        </w:numPr>
        <w:spacing w:after="80" w:line="240"/>
      </w:pPr>
      <w:r>
        <w:t>Treasury team reports net reduction in review burden</w:t>
      </w:r>
    </w:p>
    <w:p>
      <w:pPr>
        <w:pStyle w:val="ListParagraph"/>
        <w:numPr>
          <w:ilvl w:val="0"/>
          <w:numId w:val="2"/>
        </w:numPr>
        <w:spacing w:after="200" w:line="240"/>
      </w:pPr>
      <w:r>
        <w:t>System correctly flags ≥90% of planted exceptions in a controlled test</w:t>
      </w:r>
    </w:p>
    <w:p>
      <w:r>
        <w:br w:type="page"/>
      </w:r>
    </w:p>
    <w:p>
      <w:pPr>
        <w:spacing w:after="120" w:line="240"/>
      </w:pPr>
      <w:r>
        <w:rPr>
          <w:rFonts w:ascii="Arial" w:cs="Arial" w:eastAsia="Arial" w:hAnsi="Arial"/>
          <w:b/>
          <w:bCs/>
          <w:color w:val="454B1B"/>
          <w:sz w:val="26"/>
          <w:szCs w:val="26"/>
        </w:rPr>
        <w:t xml:space="preserve">Where this expands</w:t>
      </w:r>
    </w:p>
    <w:p>
      <w:pPr>
        <w:spacing w:after="120" w:line="240"/>
        <w:jc w:val="left"/>
      </w:pPr>
      <w:r>
        <w:rPr>
          <w:rFonts w:ascii="Arial" w:cs="Arial" w:eastAsia="Arial" w:hAnsi="Arial"/>
          <w:color w:val="000000"/>
          <w:sz w:val="21"/>
          <w:szCs w:val="21"/>
        </w:rPr>
        <w:t xml:space="preserve">The borrowing-base packet is the entry point. Once structured work product exists, adjacent workflows open: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rHeight w:val="360" w:hRule="atLeast"/>
        </w:trPr>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Expansion workflow</w:t>
            </w:r>
          </w:p>
        </w:tc>
        <w:tc>
          <w:tcPr>
            <w:tcBorders>
              <w:top w:val="single" w:color="CCCCCC" w:sz="6"/>
              <w:left w:val="single" w:color="CCCCCC" w:sz="6"/>
              <w:bottom w:val="single" w:color="CCCCCC" w:sz="6"/>
              <w:right w:val="single" w:color="CCCCCC" w:sz="6"/>
            </w:tcBorders>
            <w:shd w:fill="F5F4F0" w:val="clear"/>
            <w:tcMar>
              <w:top w:type="dxa" w:w="80"/>
              <w:left w:type="dxa" w:w="100"/>
              <w:bottom w:type="dxa" w:w="80"/>
              <w:right w:type="dxa" w:w="100"/>
            </w:tcMar>
            <w:vAlign w:val="center"/>
          </w:tcPr>
          <w:p>
            <w:pPr>
              <w:spacing w:line="240" w:lineRule="auto"/>
            </w:pPr>
            <w:r>
              <w:rPr>
                <w:rFonts w:ascii="Arial" w:cs="Arial" w:eastAsia="Arial" w:hAnsi="Arial"/>
                <w:b/>
                <w:bCs/>
                <w:color w:val="000000"/>
                <w:sz w:val="19"/>
                <w:szCs w:val="19"/>
              </w:rPr>
              <w:t xml:space="preserve">Same buyer?</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Covenant monitoring (ongoing)</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Yes — Treasury</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Lender Q&amp;A (ad hoc)</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Yes — Treasury</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Amendment support</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Yes — Treasury + Legal</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Reserve audit support</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Adjacent — Engineering + Advisory</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Board/IC materials</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Adjacent — FP&amp;A + IR</w:t>
            </w:r>
          </w:p>
        </w:tc>
      </w:tr>
      <w:tr>
        <w:trPr>
          <w:trHeight w:val="280" w:hRule="atLeast"/>
        </w:trPr>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Hedging documentation</w:t>
            </w:r>
          </w:p>
        </w:tc>
        <w:tc>
          <w:tcPr>
            <w:tcBorders>
              <w:top w:val="single" w:color="CCCCCC" w:sz="6"/>
              <w:left w:val="single" w:color="CCCCCC" w:sz="6"/>
              <w:bottom w:val="single" w:color="CCCCCC" w:sz="6"/>
              <w:right w:val="single" w:color="CCCCCC" w:sz="6"/>
            </w:tcBorders>
            <w:tcMar>
              <w:top w:type="dxa" w:w="80"/>
              <w:left w:type="dxa" w:w="100"/>
              <w:bottom w:type="dxa" w:w="80"/>
              <w:right w:type="dxa" w:w="100"/>
            </w:tcMar>
            <w:vAlign w:val="center"/>
          </w:tcPr>
          <w:p>
            <w:pPr>
              <w:spacing w:line="240" w:lineRule="auto"/>
            </w:pPr>
            <w:r>
              <w:rPr>
                <w:rFonts w:ascii="Arial" w:cs="Arial" w:eastAsia="Arial" w:hAnsi="Arial"/>
                <w:b w:val="false"/>
                <w:bCs w:val="false"/>
                <w:color w:val="000000"/>
                <w:sz w:val="19"/>
                <w:szCs w:val="19"/>
              </w:rPr>
              <w:t xml:space="preserve">Adjacent — Risk + Trading</w:t>
            </w:r>
          </w:p>
        </w:tc>
      </w:tr>
    </w:tbl>
    <w:p>
      <w:pPr>
        <w:spacing w:after="200" w:line="240"/>
      </w:pPr>
      <w:r>
        <w:t xml:space="preserve"/>
      </w:r>
    </w:p>
    <w:p>
      <w:pPr>
        <w:spacing w:after="120" w:line="240"/>
      </w:pPr>
      <w:r>
        <w:rPr>
          <w:rFonts w:ascii="Arial" w:cs="Arial" w:eastAsia="Arial" w:hAnsi="Arial"/>
          <w:b/>
          <w:bCs/>
          <w:color w:val="454B1B"/>
          <w:sz w:val="26"/>
          <w:szCs w:val="26"/>
        </w:rPr>
        <w:t xml:space="preserve">Why OpenAI Frontier</w:t>
      </w:r>
    </w:p>
    <w:p>
      <w:pPr>
        <w:spacing w:after="200" w:line="240"/>
        <w:jc w:val="left"/>
      </w:pPr>
      <w:r>
        <w:rPr>
          <w:rFonts w:ascii="Arial" w:cs="Arial" w:eastAsia="Arial" w:hAnsi="Arial"/>
          <w:color w:val="000000"/>
          <w:sz w:val="21"/>
          <w:szCs w:val="21"/>
        </w:rPr>
        <w:t xml:space="preserve">This workflow maps directly to Frontier's architecture. Durable context = evidence memory across redetermination cycles. Evals = citation fidelity and numeric accuracy measured per cycle. Governance = human signoff boundary with full audit trail. Agents = workflow-bound reasoning that runs actual packet assembly, not generic Q&amp;A. This is a production enterprise workflow, not a demo.</w:t>
      </w:r>
    </w:p>
    <w:p>
      <w:pPr>
        <w:spacing w:after="120" w:line="240"/>
      </w:pPr>
      <w:r>
        <w:rPr>
          <w:rFonts w:ascii="Arial" w:cs="Arial" w:eastAsia="Arial" w:hAnsi="Arial"/>
          <w:b/>
          <w:bCs/>
          <w:color w:val="454B1B"/>
          <w:sz w:val="26"/>
          <w:szCs w:val="26"/>
        </w:rPr>
        <w:t xml:space="preserve">Design partner offer</w:t>
      </w:r>
    </w:p>
    <w:p>
      <w:pPr>
        <w:pBdr>
          <w:top w:val="single" w:sz="6" w:space="1" w:color="CCCCCC"/>
          <w:left w:val="single" w:sz="6" w:space="1" w:color="CCCCCC"/>
          <w:bottom w:val="single" w:sz="6" w:space="1" w:color="CCCCCC"/>
          <w:right w:val="single" w:sz="6" w:space="1" w:color="CCCCCC"/>
        </w:pBdr>
        <w:shd w:fill="F5F4F0" w:val="clear"/>
        <w:spacing w:after="120" w:before="120" w:line="240"/>
        <w:ind w:left="200" w:right="200"/>
        <w:jc w:val="left"/>
      </w:pPr>
      <w:r>
        <w:rPr>
          <w:rFonts w:ascii="Arial" w:cs="Arial" w:eastAsia="Arial" w:hAnsi="Arial"/>
          <w:color w:val="000000"/>
          <w:sz w:val="21"/>
          <w:szCs w:val="21"/>
        </w:rPr>
        <w:t>One workflow. One business unit. One redetermination cycle. We integrate the source bundle, generate cited draft materials, flag conflicts, route exceptions for review, and measure the before/after. Success is defined by faster packet completion, fewer manual reconciliations, faster lender-response turnaround, and lower error escape rates. Human signoff remains with treasury and legal throughout. Timeline: 90 days from integration start to measured results (one redetermination cycle). Note: the commercial sequence in the deal memo adds a 30-day diagnostic and scoping phase before this 90-day execution window.</w:t>
      </w:r>
    </w:p>
    <w:p>
      <w:pPr>
        <w:spacing w:after="600" w:line="240"/>
      </w:pPr>
      <w:r>
        <w:t xml:space="preserve"/>
      </w:r>
    </w:p>
    <w:p>
      <w:pPr>
        <w:spacing w:line="240"/>
        <w:jc w:val="center"/>
      </w:pPr>
      <w:r>
        <w:rPr>
          <w:rFonts w:ascii="Arial" w:cs="Arial" w:eastAsia="Arial" w:hAnsi="Arial"/>
          <w:i/>
          <w:iCs/>
          <w:color w:val="999999"/>
          <w:sz w:val="18"/>
          <w:szCs w:val="18"/>
        </w:rPr>
        <w:t xml:space="preserve">Sunya Research · v32 · raj@sunya.tech</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multiLevelType w:val="singleLevel"/>
    <w:lvl w:ilvl="0">
      <w:start w:val="1"/>
      <w:numFmt w:val="decimal"/>
      <w:lvlText w:val="%1."/>
      <w:lvlJc w:val="left"/>
      <w:pPr>
        <w:ind w:left="720" w:hanging="360"/>
      </w:pPr>
    </w:lvl>
  </w:abstractNum>
  <w:num w:numId="1">
    <w:abstractNumId w:val="1"/>
    <w:lvlOverride w:ilvl="0">
      <w:startOverride w:val="1"/>
    </w:lvlOverride>
  </w:num>
  <w:num w:numId="2">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2026-03-31T00:56:42.599Z</dcterms:created>
  <dcterms:modified xsi:type="dcterms:W3CDTF">2026-03-31T00:56:42.599Z</dcterms:modified>
</cp:coreProperties>
</file>

<file path=docProps/custom.xml><?xml version="1.0" encoding="utf-8"?>
<Properties xmlns="http://schemas.openxmlformats.org/officeDocument/2006/custom-properties" xmlns:vt="http://schemas.openxmlformats.org/officeDocument/2006/docPropsVTypes"/>
</file>