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80"/>
      </w:pPr>
    </w:p>
    <w:p>
      <w:pPr>
        <w:spacing w:line="480"/>
      </w:pPr>
    </w:p>
    <w:p>
      <w:pPr>
        <w:spacing w:line="480"/>
      </w:pPr>
    </w:p>
    <w:p>
      <w:pPr>
        <w:pStyle w:val="Normal"/>
        <w:spacing w:after="100" w:before="200"/>
        <w:jc w:val="center"/>
      </w:pPr>
      <w:r>
        <w:t>Energy Decision Stack</w:t>
      </w:r>
      <w:r>
        <w:rPr>
          <w:rFonts w:ascii="Arial" w:cs="Arial" w:eastAsia="Arial" w:hAnsi="Arial"/>
          <w:b/>
          <w:bCs/>
          <w:color w:val="000000"/>
          <w:sz w:val="60"/>
          <w:szCs w:val="60"/>
        </w:rPr>
      </w:r>
    </w:p>
    <w:p>
      <w:pPr>
        <w:pStyle w:val="Normal"/>
        <w:spacing w:after="400"/>
        <w:jc w:val="center"/>
      </w:pPr>
      <w:r>
        <w:t>Deal Readiness Memo</w:t>
      </w:r>
      <w:r>
        <w:rPr>
          <w:rFonts w:ascii="Arial" w:cs="Arial" w:eastAsia="Arial" w:hAnsi="Arial"/>
          <w:b/>
          <w:bCs/>
          <w:color w:val="000000"/>
          <w:sz w:val="60"/>
          <w:szCs w:val="60"/>
        </w:rPr>
      </w:r>
    </w:p>
    <w:p>
      <w:pPr>
        <w:spacing w:line="480"/>
      </w:pPr>
    </w:p>
    <w:p>
      <w:pPr>
        <w:pStyle w:val="Normal"/>
        <w:spacing w:after="200" w:before="200"/>
        <w:jc w:val="center"/>
      </w:pPr>
      <w:r>
        <w:t>Prepared by Sunya Research · March 2026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pStyle w:val="Normal"/>
        <w:spacing w:after="100" w:before="400"/>
        <w:jc w:val="center"/>
      </w:pPr>
      <w:r>
        <w:t>CONFIDENTIAL — For Internal Use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</w:r>
    </w:p>
    <w:r>
      <w:br w:type="page"/>
    </w:r>
    <w:p>
      <w:pPr>
        <w:pStyle w:val="Heading1"/>
        <w:spacing w:after="240" w:before="360" w:line="276"/>
      </w:pPr>
      <w:r>
        <w:t xml:space="preserve">1. Executive Summary</w:t>
      </w:r>
    </w:p>
    <w:p>
      <w:pPr>
        <w:pStyle w:val="Normal"/>
        <w:spacing w:after="240" w:before="0" w:line="276" w:lineRule="auto"/>
        <w:jc w:val="both"/>
      </w:pPr>
      <w:r>
        <w:t>The energy sector's $3.3T annual investment is governed by document-intensive decision workflows — rate cases, borrowing bases, interconnection studies, IC memos — where the gap between AI capability and current practice is wider than any other vertical. 404 positions mapped across 6 operating layers show ~90% of AI-exposed payroll sits above the field, in knowledge work. The opportunity is not "AI for energy" broadly — it is a sequence of 20 specific workflows where a model vendor with vertical go-to-market captures $50-200M+ in annual recurring revenue from API and orchestration fees alone, with outcome-based pricing creating 10-50x upside beyond the API floor. Three workflows are immediately contractable: borrowing-base redetermination (E&amp;P treasurers), rate-case preparation (utility regulatory affairs), and IC memo/portfolio monitoring (infrastructure PE). The first deployment can begin within 90 days.</w:t>
      </w:r>
    </w:p>
    <w:p>
      <w:pPr>
        <w:pStyle w:val="Heading1"/>
        <w:spacing w:after="240" w:before="360" w:line="276"/>
      </w:pPr>
      <w:r>
        <w:t xml:space="preserve">2. The Buyer</w:t>
      </w:r>
    </w:p>
    <w:p>
      <w:pPr>
        <w:pStyle w:val="Heading2"/>
        <w:spacing w:after="180" w:before="240" w:line="276"/>
      </w:pPr>
      <w:r>
        <w:t xml:space="preserve">Primary — Mid-Cap E&amp;P Treasurer (Borrowing-Base Redetermination)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>Pain: Twice-yearly 3-4 week core crunch (15-20 business days) with 1-2 weeks mobilization pulling engineering, finance, and legal into a documentation marathon. Every day of delay risks covenant breach or reduced facility.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>Budget: Finance/treasury operating budget, typically $200-400K per cycle in loaded labor ($200-500K annually in direct analyst time; loaded labor includes benefits, overhead, and opportunity cost)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Acute trigger: Banks tightening redetermination scrutiny post-SVB; reservoir data complexity increasing with horizontal wells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Budget owner: Treasurer or VP Finance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Why now: Spring 2026 redetermination cycle approaching; companies actively looking for efficiency</w:t>
      </w:r>
    </w:p>
    <w:p>
      <w:pPr>
        <w:spacing w:line="120"/>
      </w:pPr>
    </w:p>
    <w:p>
      <w:pPr>
        <w:pStyle w:val="Heading2"/>
        <w:spacing w:after="180" w:before="240" w:line="276"/>
      </w:pPr>
      <w:r>
        <w:t xml:space="preserve">Secondary — Investor-Owned Utility VP Regulatory (Rate Case)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Pain: General rate cases take 12-18 months, hundreds of thousands of pages of testimony, data requests, and exhibits. Regulatory affairs teams are understaffed and overworked.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Budget: Regulatory affairs operating budget + external consultant spend ($1-5M per case)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Acute trigger: Rising capital costs from grid modernization driving more frequent rate cases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Budget owner: VP Regulatory Affairs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Why now: 2025-2026 wave of transmission investment driving rate case volume</w:t>
      </w:r>
    </w:p>
    <w:p>
      <w:pPr>
        <w:spacing w:line="120"/>
      </w:pPr>
    </w:p>
    <w:p>
      <w:pPr>
        <w:pStyle w:val="Heading2"/>
        <w:spacing w:after="180" w:before="240" w:line="276"/>
      </w:pPr>
      <w:r>
        <w:t xml:space="preserve">Tertiary — Infrastructure PE Managing Director (IC Memo + Portfolio Monitoring)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Pain: Each deal requires 24+ IC memos per year per fund. Analysts spending 60-70% of time on data gathering vs. analysis. Portfolio monitoring is manual.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Budget: Deal team overhead + operating partner budget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Acute trigger: LP pressure for faster deployment in energy transition. Larger portfolios with same headcount.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Budget owner: Managing Director or COO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Why now: Energy infrastructure fundraising wave (2024-2026) creating capacity constraint</w:t>
      </w:r>
    </w:p>
    <w:p>
      <w:pPr>
        <w:pStyle w:val="Heading1"/>
        <w:spacing w:after="240" w:before="360" w:line="276"/>
      </w:pPr>
      <w:r>
        <w:t xml:space="preserve">3. The Wedge — First Sale, Unit Economics</w:t>
      </w:r>
    </w:p>
    <w:p>
      <w:pPr>
        <w:pStyle w:val="Normal"/>
        <w:spacing w:after="240" w:before="0" w:line="276"/>
      </w:pPr>
      <w:r>
        <w:t xml:space="preserve">Focus on borrowing-base redetermination as the entry wedge.</w:t>
      </w:r>
    </w:p>
    <w:tbl>
      <w:tblPr>
        <w:tblW w:type="auto" w:w="100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981200"/>
        <w:gridCol w:w="1981200"/>
        <w:gridCol w:w="1981200"/>
      </w:tblGrid>
      <w:tr>
        <w:trPr>
          <w:trHeight w:val="400" w:hRule="atLeast"/>
        </w:trPr>
        <w:tc>
          <w:tcPr>
            <w:tcW w:type="dxa" w:w="312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Metric</w:t>
            </w:r>
          </w:p>
        </w:tc>
        <w:tc>
          <w:tcPr>
            <w:tcW w:type="dxa" w:w="312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Current State</w:t>
            </w:r>
          </w:p>
        </w:tc>
        <w:tc>
          <w:tcPr>
            <w:tcW w:type="dxa" w:w="312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AI-Assisted State</w:t>
            </w:r>
          </w:p>
        </w:tc>
      </w:tr>
      <w:tr>
        <w:trPr>
          <w:trHeight w:val="300" w:hRule="atLeast"/>
        </w:trPr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>Cycle time (end-to-end incl. mobilization)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4-6 weeks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8-12 days</w:t>
            </w:r>
          </w:p>
        </w:tc>
      </w:tr>
      <w:tr>
        <w:trPr>
          <w:trHeight w:val="300" w:hRule="atLeast"/>
        </w:trPr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Loaded labor cost per cycle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$200-400K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$50-100K</w:t>
            </w:r>
          </w:p>
        </w:tc>
      </w:tr>
      <w:tr>
        <w:trPr>
          <w:trHeight w:val="300" w:hRule="atLeast"/>
        </w:trPr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Error rate (data requests)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8-12% rework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&lt;3% rework</w:t>
            </w:r>
          </w:p>
        </w:tc>
      </w:tr>
      <w:tr>
        <w:trPr>
          <w:trHeight w:val="300" w:hRule="atLeast"/>
        </w:trPr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Engineer-hours diverted from operations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400-600 hrs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80-120 hrs</w:t>
            </w:r>
          </w:p>
        </w:tc>
      </w:tr>
      <w:tr>
        <w:trPr>
          <w:trHeight w:val="300" w:hRule="atLeast"/>
        </w:trPr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Cycles per year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2</w:t>
            </w:r>
          </w:p>
        </w:tc>
        <w:tc>
          <w:tcPr>
            <w:tcW w:type="dxa" w:w="312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2 (with interim update capacity)</w:t>
            </w:r>
          </w:p>
        </w:tc>
      </w:tr>
    </w:tbl>
    <w:p>
      <w:pPr>
        <w:pStyle w:val="Normal"/>
        <w:spacing w:after="240" w:before="240" w:line="276"/>
      </w:pPr>
      <w:r>
        <w:t>ROI math: At $250-300K current loaded cost per cycle, $75K AI-assisted cost, 2 cycles/year = $350–450K annual savings. Implementation cost ~$200K. Payback: &lt;6 months.</w:t>
      </w:r>
    </w:p>
    <w:p>
      <w:pPr>
        <w:pStyle w:val="Heading2"/>
        <w:spacing w:after="180" w:before="240" w:line="276"/>
      </w:pPr>
      <w:r>
        <w:t xml:space="preserve">Why this workflow: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(a) measurable cycle with fixed deadlines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(b) single budget owner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>(c) semi-controlled (lender controls covenant waiver decisions)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(d) high repeat rate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(e) data already digital (engineering databases, financial models)</w:t>
      </w:r>
    </w:p>
    <w:p>
      <w:pPr>
        <w:pStyle w:val="Heading1"/>
        <w:spacing w:after="240" w:before="360" w:line="276"/>
      </w:pPr>
      <w:r>
        <w:t xml:space="preserve">4. Program Sequence</w:t>
      </w:r>
    </w:p>
    <w:tbl>
      <w:tblPr>
        <w:tblW w:type="auto" w:w="100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990600"/>
        <w:gridCol w:w="990600"/>
        <w:gridCol w:w="990600"/>
        <w:gridCol w:w="990600"/>
        <w:gridCol w:w="990600"/>
        <w:gridCol w:w="990600"/>
      </w:tblGrid>
      <w:tr>
        <w:trPr>
          <w:trHeight w:val="400" w:hRule="atLeast"/>
        </w:trPr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Phase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Duration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Investment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Scope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Success Metric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Kill Criterion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Phase 1
Paid Diagnostic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30 days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$50-75K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Map one workflow end-to-end at one company. Produce decision-loop audit.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Customer agrees to proceed to pilot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No &gt;25% addressable time savings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Phase 2
Single Workflow Pilot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90 days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$200-400K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Deploy AI-assisted workflow for one borrowing-base cycle. Measure cycle time, labor, error rate, user satisfaction.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&gt;30% cycle time reduction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&lt;20% reduction or team rejects tool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Phase 3
Multi-Workflow Expansion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6-12 months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$500K-1.5M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Same company, 3-5 additional workflows. Pricing shifts to per-workflow monthly fee.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&gt;3x ROI across portfolio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Adoption below 40% of eligible users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Phase 4
Platform / Strategic Partnership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12-18 months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$2M+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Multi-company deployment. Data network effects begin. Consider outcome-based pricing, co-development, industry data cooperative.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$5M+ ARR with positive unit economics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Can't demonstrate cross-company learning benefit</w:t>
            </w:r>
          </w:p>
        </w:tc>
      </w:tr>
    </w:tbl>
    <w:p>
      <w:pPr>
        <w:pStyle w:val="Heading1"/>
        <w:spacing w:after="240" w:before="360" w:line="276"/>
      </w:pPr>
      <w:r>
        <w:t xml:space="preserve">5. Partnership Structure Options</w:t>
      </w:r>
    </w:p>
    <w:tbl>
      <w:tblPr>
        <w:tblW w:type="auto" w:w="100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990600"/>
        <w:gridCol w:w="990600"/>
        <w:gridCol w:w="990600"/>
        <w:gridCol w:w="990600"/>
        <w:gridCol w:w="990600"/>
        <w:gridCol w:w="990600"/>
      </w:tblGrid>
      <w:tr>
        <w:trPr>
          <w:trHeight w:val="400" w:hRule="atLeast"/>
        </w:trPr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Structure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Revenue Model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OpenAI Gets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Sunya Gets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Risk Profile</w:t>
            </w:r>
          </w:p>
        </w:tc>
        <w:tc>
          <w:tcPr>
            <w:tcW w:type="dxa" w:w="15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Best For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Option A
API + Domain Services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Sunya charges customer, pays OpenAI usage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Volume + vertical proof point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Margin + customer ownership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Low risk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Proving the market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Option B
Co-Build / Reseller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Revenue share (e.g., 60/40)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Enterprise vertical + domain data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Platform leverage + distribution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Medium risk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Scaling after proof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Option C
Outcome-Based / Gain-Share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Pricing tied to measurable outcomes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Case study + premium pricing proof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Upside participation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Higher risk, higher reward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Large enterprise</w:t>
            </w:r>
          </w:p>
        </w:tc>
      </w:tr>
      <w:tr>
        <w:trPr>
          <w:trHeight w:val="500" w:hRule="atLeast"/>
        </w:trPr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Option D
Strategic Platform Deal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Sunya becomes "energy vertical"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Owned vertical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Scale + resources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Highest commitment</w:t>
            </w:r>
          </w:p>
        </w:tc>
        <w:tc>
          <w:tcPr>
            <w:tcW w:type="dxa" w:w="15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Once market is proven</w:t>
            </w:r>
          </w:p>
        </w:tc>
      </w:tr>
    </w:tbl>
    <w:p>
      <w:pPr>
        <w:pStyle w:val="Normal"/>
        <w:spacing w:after="240" w:before="240" w:line="276"/>
      </w:pPr>
      <w:r>
        <w:t xml:space="preserve">Recommended sequence: Start with A to prove unit economics, move to B for scale, layer C for enterprise expansion.</w:t>
      </w:r>
    </w:p>
    <w:p>
      <w:pPr>
        <w:pStyle w:val="Heading1"/>
        <w:spacing w:after="240" w:before="360" w:line="276"/>
      </w:pPr>
      <w:r>
        <w:t xml:space="preserve">6. Proof-Burden Ladder</w:t>
      </w:r>
    </w:p>
    <w:tbl>
      <w:tblPr>
        <w:tblW w:type="auto" w:w="100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485900"/>
        <w:gridCol w:w="1485900"/>
        <w:gridCol w:w="1485900"/>
        <w:gridCol w:w="1485900"/>
      </w:tblGrid>
      <w:tr>
        <w:trPr>
          <w:trHeight w:val="400" w:hRule="atLeast"/>
        </w:trPr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Tier</w:t>
            </w:r>
          </w:p>
        </w:tc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Definition</w:t>
            </w:r>
          </w:p>
        </w:tc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Examples</w:t>
            </w:r>
          </w:p>
        </w:tc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Status</w:t>
            </w:r>
          </w:p>
        </w:tc>
      </w:tr>
      <w:tr>
        <w:trPr>
          <w:trHeight w:val="5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Contract-Critical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Appears in SOW/pricing. MUST be verifiable before any contract.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Specific workflow cycle times, cost per cycle, measurable reduction percentages, data requirements, integration specs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Partially developed (eval spec exists, operator memo exists, but no real-world measurement)</w:t>
            </w:r>
          </w:p>
        </w:tc>
      </w:tr>
      <w:tr>
        <w:trPr>
          <w:trHeight w:val="5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Load-Bearing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Changes buyer decision. Must survive CFO/procurement challenge.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>~90% above-field figure, sensitivity analysis, beachhead worked examples, industry-specific benchmarks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Solid after QA fixes</w:t>
            </w:r>
          </w:p>
        </w:tc>
      </w:tr>
      <w:tr>
        <w:trPr>
          <w:trHeight w:val="5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Directional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Supports thesis, doesn't affect deal terms.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404 position taxonomy, layer-level aggregation, reflexive loop, queue completion rates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Strong</w:t>
            </w:r>
          </w:p>
        </w:tc>
      </w:tr>
      <w:tr>
        <w:trPr>
          <w:trHeight w:val="5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Decorative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Context and narrative. Interesting but not deal-critical.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Superintelligence discussion, four-waves thesis, native-AI company speculation, $1T reallocation scenario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Well-written</w:t>
            </w:r>
          </w:p>
        </w:tc>
      </w:tr>
    </w:tbl>
    <w:p>
      <w:pPr>
        <w:pStyle w:val="Normal"/>
        <w:spacing w:after="240" w:before="240" w:line="276"/>
      </w:pPr>
      <w:r>
        <w:t xml:space="preserve">Gap: The package needs at least ONE real measurement from a real workflow at a real company to move contract-critical claims from "modeled" to "measured."</w:t>
      </w:r>
    </w:p>
    <w:p>
      <w:pPr>
        <w:pStyle w:val="Heading1"/>
        <w:spacing w:after="240" w:before="360" w:line="276"/>
      </w:pPr>
      <w:r>
        <w:t xml:space="preserve">7. Competitive Landscape &amp; Why OpenAI</w:t>
      </w:r>
    </w:p>
    <w:tbl>
      <w:tblPr>
        <w:tblW w:type="auto" w:w="100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485900"/>
        <w:gridCol w:w="1485900"/>
        <w:gridCol w:w="1485900"/>
        <w:gridCol w:w="1485900"/>
      </w:tblGrid>
      <w:tr>
        <w:trPr>
          <w:trHeight w:val="400" w:hRule="atLeast"/>
        </w:trPr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Competitor</w:t>
            </w:r>
          </w:p>
        </w:tc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Approach</w:t>
            </w:r>
          </w:p>
        </w:tc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Strength</w:t>
            </w:r>
          </w:p>
        </w:tc>
        <w:tc>
          <w:tcPr>
            <w:tcW w:type="dxa" w:w="234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Weakness vs. This Thesis</w:t>
            </w:r>
          </w:p>
        </w:tc>
      </w:tr>
      <w:tr>
        <w:trPr>
          <w:trHeight w:val="4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Microsoft/Azure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Horizontal Copilot for enterprise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Distribution, existing enterprise relationships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No energy-specific workflow knowledge, no domain fine-tuning</w:t>
            </w:r>
          </w:p>
        </w:tc>
      </w:tr>
      <w:tr>
        <w:trPr>
          <w:trHeight w:val="4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Google/DeepMind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Model capability + cloud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Technical depth, Gemini context window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Limited enterprise energy presence, no vertical GTM</w:t>
            </w:r>
          </w:p>
        </w:tc>
      </w:tr>
      <w:tr>
        <w:trPr>
          <w:trHeight w:val="4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Anthropic/Claude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Safety + enterprise trust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Constitutional AI positioning fits regulated industries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Smaller enterprise footprint, no energy-specific play</w:t>
            </w:r>
          </w:p>
        </w:tc>
      </w:tr>
      <w:tr>
        <w:trPr>
          <w:trHeight w:val="4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Palantir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Data integration + ontology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Energy/defense relationships, Foundry platform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Expensive, heavy implementation, not LLM-native</w:t>
            </w:r>
          </w:p>
        </w:tc>
      </w:tr>
      <w:tr>
        <w:trPr>
          <w:trHeight w:val="4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Accenture/McKinsey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Advisory + implementation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Existing energy advisory relationships, trusted advisors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Slow, expensive, incentivized to sell hours not outcomes</w:t>
            </w:r>
          </w:p>
        </w:tc>
      </w:tr>
      <w:tr>
        <w:trPr>
          <w:trHeight w:val="400" w:hRule="atLeast"/>
        </w:trPr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Build Internal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Company IT + open-source models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Data stays internal, full control</w:t>
            </w:r>
          </w:p>
        </w:tc>
        <w:tc>
          <w:tcPr>
            <w:tcW w:type="dxa" w:w="234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line="276"/>
            </w:pPr>
            <w:r>
              <w:t xml:space="preserve">No benchmarks, no cross-company learning, talent shortage</w:t>
            </w:r>
          </w:p>
        </w:tc>
      </w:tr>
    </w:tbl>
    <w:p>
      <w:pPr>
        <w:pStyle w:val="Normal"/>
        <w:spacing w:after="240" w:before="240" w:line="276"/>
      </w:pPr>
      <w:r>
        <w:t xml:space="preserve">Why OpenAI wins: Model quality × enterprise trust × API infrastructure × ability to build vertical products. Energy needs long-context reasoning (rate cases are 100K+ pages), multi-step workflows (not single-turn Q&amp;A), and enterprise-grade security. OpenAI's model trajectory (longer context, better reasoning, tool use) aligns with these requirements. The missing piece is domain knowledge and customer access — which is what this partnership provides.</w:t>
      </w:r>
    </w:p>
    <w:p>
      <w:pPr>
        <w:pStyle w:val="Heading1"/>
        <w:spacing w:after="240" w:before="360" w:line="276"/>
      </w:pPr>
      <w:r>
        <w:t xml:space="preserve">8. Red Flags &amp; Kill Criteria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Data access: Energy companies are conservative about data. If pilot companies won't share actual workflow data, the diagnostic can't produce real numbers.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Regulatory risk: Some workflows (rate cases, interconnection studies) involve regulated processes. AI-generated content may face pushback from PUCs or FERC.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Token pricing trajectory: If blended token costs drop below $2/M, the API revenue floor shrinks significantly. Offset: outcome-based pricing is independent of token cost.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Incumbent advisor resistance: Existing consultants (big 4, specialized advisory) may actively resist AI workflows that reduce billable hours.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Talent: Domain expertise is the moat. If the team can't staff senior energy professionals who understand the workflows from the inside, the product becomes generic.</w:t>
      </w:r>
    </w:p>
    <w:p>
      <w:pPr>
        <w:pStyle w:val="ListParagraph"/>
        <w:pStyle w:val="List Bullet"/>
        <w:numPr>
          <w:ilvl w:val="0"/>
          <w:numId w:val="1"/>
        </w:numPr>
        <w:spacing w:after="120" w:before="0" w:line="276"/>
      </w:pPr>
      <w:r>
        <w:t xml:space="preserve">Platform risk: Building on one model vendor creates dependency. Mitigation: architecture should be model-agnostic with vendor preference.</w:t>
      </w:r>
    </w:p>
    <w:p>
      <w:pPr>
        <w:pStyle w:val="Heading1"/>
        <w:spacing w:after="240" w:before="360" w:line="276"/>
      </w:pPr>
      <w:r>
        <w:t xml:space="preserve">9. The Ask — Next Steps</w:t>
      </w:r>
    </w:p>
    <w:p>
      <w:pPr>
        <w:pStyle w:val="List Number"/>
        <w:spacing w:after="120" w:before="0" w:line="276"/>
      </w:pPr>
      <w:r>
        <w:t xml:space="preserve">Identify one mid-cap E&amp;P approaching spring redetermination willing to run a paid diagnostic ($50-75K, 30 days)</w:t>
      </w:r>
    </w:p>
    <w:p>
      <w:pPr>
        <w:pStyle w:val="List Number"/>
        <w:spacing w:after="120" w:before="0" w:line="276"/>
      </w:pPr>
      <w:r>
        <w:t xml:space="preserve">Complete the diagnostic and produce a decision-loop audit with specific automation scores</w:t>
      </w:r>
    </w:p>
    <w:p>
      <w:pPr>
        <w:pStyle w:val="List Number"/>
        <w:spacing w:after="120" w:before="0" w:line="276"/>
      </w:pPr>
      <w:r>
        <w:t xml:space="preserve">Use diagnostic results to design a pilot scope, timeline, and success metrics</w:t>
      </w:r>
    </w:p>
    <w:p>
      <w:pPr>
        <w:pStyle w:val="List Number"/>
        <w:spacing w:after="120" w:before="0" w:line="276"/>
      </w:pPr>
      <w:r>
        <w:t xml:space="preserve">Present pilot proposal to buyer's executive team with real numbers (not modeled)</w:t>
      </w:r>
    </w:p>
    <w:p>
      <w:pPr>
        <w:pStyle w:val="List Number"/>
        <w:spacing w:after="120" w:before="0" w:line="276"/>
      </w:pPr>
      <w:r>
        <w:t xml:space="preserve">Execute pilot during fall 2026 redetermination cycle</w:t>
      </w:r>
    </w:p>
    <w:p>
      <w:pPr>
        <w:pStyle w:val="List Number"/>
        <w:spacing w:after="120" w:before="0" w:line="276"/>
      </w:pPr>
      <w:r>
        <w:t xml:space="preserve">Use pilot results to structure partnership terms with model vendor</w:t>
      </w:r>
    </w:p>
    <w:p>
      <w:pPr>
        <w:pStyle w:val="Normal"/>
        <w:spacing w:after="240" w:before="240" w:line="276"/>
      </w:pPr>
      <w:r>
        <w:t>Timeline: Diagnostic complete by May 2026. Pilot scoped by June. Pilot executed Sept-Oct 2026 (90 days from integration start to measured results, aligned with fall redetermination cycle). Partnership terms by Q4 2026.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Normal"/>
      <w:jc w:val="center"/>
    </w:pPr>
    <w:r/>
    <w:r/>
    <w:r>
      <w:t xml:space="preserve">Page </w:t>
    </w:r>
    <w:r>
      <w:fldChar w:fldCharType="begin"/>
    </w:r>
    <w:r>
      <w:instrText xml:space="preserve"> PAGE </w:instrText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Normal"/>
      <w:pBdr>
        <w:bottom w:val="single" w:color="CCCCCC" w:sz="6" w:space="1"/>
      </w:pBdr>
      <w:jc w:val="right"/>
    </w:pPr>
    <w:r>
      <w:t xml:space="preserve">CONFIDENTIAL — Sunya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2026-03-31T22:29:41.431Z</dcterms:created>
  <dcterms:modified xsi:type="dcterms:W3CDTF">2026-03-31T22:29:41.432Z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